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B8A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7E77508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815F8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A19D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EA44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F1EB3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D9CDF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BF318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BDCF099" w14:textId="5753307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E2C37">
        <w:rPr>
          <w:rFonts w:ascii="Verdana" w:hAnsi="Verdana"/>
          <w:b/>
          <w:bCs/>
          <w:sz w:val="18"/>
          <w:szCs w:val="18"/>
        </w:rPr>
        <w:t xml:space="preserve">„Diagnostika a přepočty strategických přemostění v obvodu OŘ Plzeň – II. Etapa“,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606F984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49F384A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5882" w14:textId="77777777" w:rsidR="00FA6E91" w:rsidRDefault="00FA6E91">
      <w:r>
        <w:separator/>
      </w:r>
    </w:p>
  </w:endnote>
  <w:endnote w:type="continuationSeparator" w:id="0">
    <w:p w14:paraId="529C20EF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30ECD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C0E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33EB5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C9A3" w14:textId="07C7BE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2C37" w:rsidRPr="008E2C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F21C2" w14:textId="77777777" w:rsidR="00FA6E91" w:rsidRDefault="00FA6E91">
      <w:r>
        <w:separator/>
      </w:r>
    </w:p>
  </w:footnote>
  <w:footnote w:type="continuationSeparator" w:id="0">
    <w:p w14:paraId="23352423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951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670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AA2CCDA" w14:textId="77777777" w:rsidTr="0045048D">
      <w:trPr>
        <w:trHeight w:val="925"/>
      </w:trPr>
      <w:tc>
        <w:tcPr>
          <w:tcW w:w="5041" w:type="dxa"/>
          <w:vAlign w:val="center"/>
        </w:tcPr>
        <w:p w14:paraId="5F2EA5B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B9853A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DCDA59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555E0E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299781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8763287">
    <w:abstractNumId w:val="5"/>
  </w:num>
  <w:num w:numId="2" w16cid:durableId="227424006">
    <w:abstractNumId w:val="1"/>
  </w:num>
  <w:num w:numId="3" w16cid:durableId="1613896736">
    <w:abstractNumId w:val="2"/>
  </w:num>
  <w:num w:numId="4" w16cid:durableId="776605337">
    <w:abstractNumId w:val="4"/>
  </w:num>
  <w:num w:numId="5" w16cid:durableId="693505596">
    <w:abstractNumId w:val="0"/>
  </w:num>
  <w:num w:numId="6" w16cid:durableId="548809020">
    <w:abstractNumId w:val="6"/>
  </w:num>
  <w:num w:numId="7" w16cid:durableId="1531261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2C37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163DCC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2023-06-02T11:13:00Z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